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642679" w14:textId="3173CD7F" w:rsidR="005142BF" w:rsidRPr="00F61314" w:rsidRDefault="005142BF" w:rsidP="005142BF">
      <w:pPr>
        <w:pStyle w:val="3GPPHeader"/>
        <w:spacing w:after="60"/>
        <w:rPr>
          <w:sz w:val="32"/>
          <w:szCs w:val="32"/>
          <w:highlight w:val="yellow"/>
        </w:rPr>
      </w:pPr>
      <w:bookmarkStart w:id="0" w:name="_Hlk512852793"/>
      <w:r>
        <w:rPr>
          <w:lang w:val="en-US"/>
        </w:rPr>
        <w:t>3GPP TSG-RAN WG2 #10</w:t>
      </w:r>
      <w:r>
        <w:t>5</w:t>
      </w:r>
      <w:r>
        <w:tab/>
      </w:r>
      <w:r>
        <w:rPr>
          <w:sz w:val="32"/>
          <w:szCs w:val="32"/>
        </w:rPr>
        <w:t xml:space="preserve"> TDoc </w:t>
      </w:r>
      <w:bookmarkStart w:id="1" w:name="_GoBack"/>
      <w:r w:rsidR="005F4C8C" w:rsidRPr="005F4C8C">
        <w:rPr>
          <w:sz w:val="32"/>
          <w:szCs w:val="32"/>
        </w:rPr>
        <w:t>R2-1901649</w:t>
      </w:r>
      <w:bookmarkEnd w:id="1"/>
    </w:p>
    <w:bookmarkEnd w:id="0"/>
    <w:p w14:paraId="7A24A574" w14:textId="058008B1" w:rsidR="005142BF" w:rsidRDefault="005142BF" w:rsidP="005142BF">
      <w:pPr>
        <w:pStyle w:val="CRCoverPage"/>
        <w:outlineLvl w:val="0"/>
        <w:rPr>
          <w:b/>
          <w:noProof/>
          <w:sz w:val="24"/>
        </w:rPr>
      </w:pPr>
      <w:r>
        <w:rPr>
          <w:b/>
          <w:noProof/>
          <w:sz w:val="24"/>
        </w:rPr>
        <w:t>Athens, Greece, 25</w:t>
      </w:r>
      <w:r>
        <w:rPr>
          <w:b/>
          <w:noProof/>
          <w:sz w:val="24"/>
          <w:vertAlign w:val="superscript"/>
        </w:rPr>
        <w:t xml:space="preserve">th </w:t>
      </w:r>
      <w:r>
        <w:rPr>
          <w:b/>
          <w:noProof/>
          <w:sz w:val="24"/>
        </w:rPr>
        <w:t>February – 1</w:t>
      </w:r>
      <w:r w:rsidRPr="007C7168">
        <w:rPr>
          <w:b/>
          <w:noProof/>
          <w:sz w:val="24"/>
          <w:vertAlign w:val="superscript"/>
        </w:rPr>
        <w:t>st</w:t>
      </w:r>
      <w:r>
        <w:rPr>
          <w:b/>
          <w:noProof/>
          <w:sz w:val="24"/>
        </w:rPr>
        <w:t xml:space="preserve"> March 2019</w:t>
      </w:r>
    </w:p>
    <w:p w14:paraId="5CE79FB9" w14:textId="77777777" w:rsidR="00C64819" w:rsidRPr="00344368" w:rsidRDefault="00C64819" w:rsidP="00C64819">
      <w:pPr>
        <w:pStyle w:val="3GPPHeader"/>
      </w:pPr>
    </w:p>
    <w:p w14:paraId="3CE7749E" w14:textId="7DBE0E0F" w:rsidR="00C64819" w:rsidRPr="005E2DB3" w:rsidRDefault="00C64819" w:rsidP="00C64819">
      <w:pPr>
        <w:pStyle w:val="3GPPHeader"/>
        <w:rPr>
          <w:sz w:val="22"/>
          <w:szCs w:val="22"/>
          <w:lang w:val="en-US"/>
        </w:rPr>
      </w:pPr>
      <w:r w:rsidRPr="005E2DB3">
        <w:rPr>
          <w:sz w:val="22"/>
          <w:szCs w:val="22"/>
          <w:lang w:val="en-US"/>
        </w:rPr>
        <w:t>Agenda Item:</w:t>
      </w:r>
      <w:r w:rsidRPr="005E2DB3">
        <w:rPr>
          <w:sz w:val="22"/>
          <w:szCs w:val="22"/>
          <w:lang w:val="en-US"/>
        </w:rPr>
        <w:tab/>
      </w:r>
      <w:r w:rsidR="006C7F20" w:rsidRPr="006C7F20">
        <w:rPr>
          <w:sz w:val="22"/>
          <w:szCs w:val="22"/>
        </w:rPr>
        <w:t>11.4.2.2</w:t>
      </w:r>
    </w:p>
    <w:p w14:paraId="1671A745" w14:textId="77777777" w:rsidR="00C64819" w:rsidRPr="00CE0424" w:rsidRDefault="00C64819" w:rsidP="00C64819">
      <w:pPr>
        <w:pStyle w:val="3GPPHeader"/>
        <w:rPr>
          <w:sz w:val="22"/>
          <w:szCs w:val="22"/>
        </w:rPr>
      </w:pPr>
      <w:r>
        <w:rPr>
          <w:sz w:val="22"/>
          <w:szCs w:val="22"/>
        </w:rPr>
        <w:t>Source:</w:t>
      </w:r>
      <w:r w:rsidRPr="00CE0424">
        <w:rPr>
          <w:sz w:val="22"/>
          <w:szCs w:val="22"/>
        </w:rPr>
        <w:tab/>
        <w:t>Ericsson</w:t>
      </w:r>
    </w:p>
    <w:p w14:paraId="212ABBB0" w14:textId="49273E6D" w:rsidR="00C64819" w:rsidRPr="00CE0424" w:rsidRDefault="00C64819" w:rsidP="00C64819">
      <w:pPr>
        <w:pStyle w:val="3GPPHeader"/>
        <w:rPr>
          <w:sz w:val="22"/>
          <w:szCs w:val="22"/>
        </w:rPr>
      </w:pPr>
      <w:r>
        <w:rPr>
          <w:sz w:val="22"/>
          <w:szCs w:val="22"/>
        </w:rPr>
        <w:t>Title:</w:t>
      </w:r>
      <w:r w:rsidRPr="00CE0424">
        <w:rPr>
          <w:sz w:val="22"/>
          <w:szCs w:val="22"/>
        </w:rPr>
        <w:tab/>
      </w:r>
      <w:r w:rsidR="003E34EF">
        <w:rPr>
          <w:sz w:val="22"/>
          <w:szCs w:val="22"/>
        </w:rPr>
        <w:t>B</w:t>
      </w:r>
      <w:r>
        <w:rPr>
          <w:sz w:val="22"/>
          <w:szCs w:val="22"/>
        </w:rPr>
        <w:t xml:space="preserve">andwidth parts </w:t>
      </w:r>
      <w:r w:rsidR="003E34EF">
        <w:rPr>
          <w:sz w:val="22"/>
          <w:szCs w:val="22"/>
        </w:rPr>
        <w:t xml:space="preserve">and Resource Pools </w:t>
      </w:r>
      <w:r>
        <w:rPr>
          <w:sz w:val="22"/>
          <w:szCs w:val="22"/>
        </w:rPr>
        <w:t>for NR V2X</w:t>
      </w:r>
    </w:p>
    <w:p w14:paraId="7F6F1C8F" w14:textId="77777777" w:rsidR="00C64819" w:rsidRPr="00CE0424" w:rsidRDefault="00C64819" w:rsidP="00C64819">
      <w:pPr>
        <w:pStyle w:val="3GPPHeader"/>
        <w:rPr>
          <w:sz w:val="22"/>
          <w:szCs w:val="22"/>
        </w:rPr>
      </w:pPr>
      <w:r w:rsidRPr="00CE0424">
        <w:rPr>
          <w:sz w:val="22"/>
          <w:szCs w:val="22"/>
        </w:rPr>
        <w:t>Document for:</w:t>
      </w:r>
      <w:r w:rsidRPr="00CE0424">
        <w:rPr>
          <w:sz w:val="22"/>
          <w:szCs w:val="22"/>
        </w:rPr>
        <w:tab/>
      </w:r>
      <w:r w:rsidRPr="007242BC">
        <w:rPr>
          <w:sz w:val="22"/>
          <w:szCs w:val="22"/>
        </w:rPr>
        <w:t>Discussion, Decision</w:t>
      </w:r>
    </w:p>
    <w:p w14:paraId="64A7A10B" w14:textId="77777777" w:rsidR="00C64819" w:rsidRPr="00CE0424" w:rsidRDefault="00C64819" w:rsidP="00C64819"/>
    <w:p w14:paraId="0DDA1005" w14:textId="77777777" w:rsidR="00C64819" w:rsidRDefault="00C64819" w:rsidP="00C64819">
      <w:pPr>
        <w:pStyle w:val="Heading1"/>
      </w:pPr>
      <w:bookmarkStart w:id="2" w:name="_Ref466049030"/>
      <w:r w:rsidRPr="00CE0424">
        <w:t>Introduction</w:t>
      </w:r>
      <w:bookmarkEnd w:id="2"/>
    </w:p>
    <w:p w14:paraId="01A54E50" w14:textId="69FBC336" w:rsidR="00C64819" w:rsidRPr="000C5FB2" w:rsidRDefault="00C64819" w:rsidP="00C64819">
      <w:pPr>
        <w:rPr>
          <w:rFonts w:cs="Arial"/>
        </w:rPr>
      </w:pPr>
      <w:bookmarkStart w:id="3" w:name="_Ref458784108"/>
      <w:bookmarkStart w:id="4" w:name="_Ref458381469"/>
      <w:r>
        <w:t xml:space="preserve"> </w:t>
      </w:r>
      <w:r w:rsidRPr="000C5FB2">
        <w:rPr>
          <w:rFonts w:cs="Arial"/>
        </w:rPr>
        <w:t xml:space="preserve">In </w:t>
      </w:r>
      <w:r w:rsidR="007D594C">
        <w:rPr>
          <w:rFonts w:cs="Arial"/>
        </w:rPr>
        <w:t>latest RAN1 ad-hoc meeting</w:t>
      </w:r>
      <w:r w:rsidRPr="000C5FB2">
        <w:rPr>
          <w:rFonts w:cs="Arial"/>
        </w:rPr>
        <w:t xml:space="preserve">, the following agreement was made with respect to the need of bandwidth part (BWP) in NR sidelink. </w:t>
      </w:r>
    </w:p>
    <w:tbl>
      <w:tblPr>
        <w:tblStyle w:val="TableGrid"/>
        <w:tblW w:w="0" w:type="auto"/>
        <w:tblLook w:val="04A0" w:firstRow="1" w:lastRow="0" w:firstColumn="1" w:lastColumn="0" w:noHBand="0" w:noVBand="1"/>
      </w:tblPr>
      <w:tblGrid>
        <w:gridCol w:w="9629"/>
      </w:tblGrid>
      <w:tr w:rsidR="00C64819" w14:paraId="21A88FB1" w14:textId="77777777" w:rsidTr="00072049">
        <w:tc>
          <w:tcPr>
            <w:tcW w:w="9629" w:type="dxa"/>
          </w:tcPr>
          <w:p w14:paraId="5AFD6C00" w14:textId="5933FD9A" w:rsidR="007D594C" w:rsidRPr="007D594C" w:rsidRDefault="007D594C" w:rsidP="007D594C">
            <w:pPr>
              <w:overflowPunct/>
              <w:autoSpaceDE/>
              <w:autoSpaceDN/>
              <w:adjustRightInd/>
              <w:spacing w:after="0"/>
              <w:jc w:val="left"/>
              <w:textAlignment w:val="auto"/>
              <w:rPr>
                <w:rFonts w:cs="Arial"/>
                <w:b/>
                <w:lang w:val="en-US"/>
              </w:rPr>
            </w:pPr>
            <w:r w:rsidRPr="007D594C">
              <w:rPr>
                <w:rFonts w:cs="Arial"/>
                <w:b/>
                <w:lang w:val="en-US"/>
              </w:rPr>
              <w:t>From RAN1-ah1901:</w:t>
            </w:r>
          </w:p>
          <w:p w14:paraId="77848B78" w14:textId="77777777" w:rsidR="007D594C" w:rsidRDefault="007D594C" w:rsidP="007D594C">
            <w:pPr>
              <w:overflowPunct/>
              <w:autoSpaceDE/>
              <w:autoSpaceDN/>
              <w:adjustRightInd/>
              <w:spacing w:after="0"/>
              <w:jc w:val="left"/>
              <w:textAlignment w:val="auto"/>
              <w:rPr>
                <w:lang w:val="en-US"/>
              </w:rPr>
            </w:pPr>
          </w:p>
          <w:p w14:paraId="32E7825D" w14:textId="77777777" w:rsidR="007D594C" w:rsidRPr="00A34732" w:rsidRDefault="007D594C" w:rsidP="007D594C">
            <w:pPr>
              <w:spacing w:before="120" w:after="60"/>
              <w:rPr>
                <w:sz w:val="26"/>
                <w:szCs w:val="26"/>
                <w:lang w:eastAsia="ko-KR"/>
              </w:rPr>
            </w:pPr>
            <w:r w:rsidRPr="00A34732">
              <w:rPr>
                <w:sz w:val="26"/>
                <w:szCs w:val="26"/>
                <w:highlight w:val="green"/>
                <w:lang w:eastAsia="ko-KR"/>
              </w:rPr>
              <w:t>Agreements</w:t>
            </w:r>
            <w:r w:rsidRPr="00A34732">
              <w:rPr>
                <w:sz w:val="26"/>
                <w:szCs w:val="26"/>
                <w:lang w:eastAsia="ko-KR"/>
              </w:rPr>
              <w:t>:</w:t>
            </w:r>
          </w:p>
          <w:p w14:paraId="768108B7" w14:textId="77777777" w:rsidR="007D594C" w:rsidRPr="007D594C" w:rsidRDefault="007D594C" w:rsidP="007D594C">
            <w:pPr>
              <w:numPr>
                <w:ilvl w:val="0"/>
                <w:numId w:val="9"/>
              </w:numPr>
              <w:overflowPunct/>
              <w:autoSpaceDE/>
              <w:autoSpaceDN/>
              <w:adjustRightInd/>
              <w:spacing w:before="60" w:after="180" w:line="360" w:lineRule="atLeast"/>
              <w:textAlignment w:val="auto"/>
              <w:rPr>
                <w:rFonts w:cs="Arial"/>
                <w:lang w:val="en-US"/>
              </w:rPr>
            </w:pPr>
            <w:r w:rsidRPr="007D594C">
              <w:rPr>
                <w:rFonts w:cs="Arial" w:hint="eastAsia"/>
                <w:lang w:val="en-US"/>
              </w:rPr>
              <w:t>Confirm the working assumption</w:t>
            </w:r>
          </w:p>
          <w:p w14:paraId="4F385A01" w14:textId="77777777" w:rsidR="007D594C" w:rsidRPr="007D594C" w:rsidRDefault="007D594C" w:rsidP="007D594C">
            <w:pPr>
              <w:numPr>
                <w:ilvl w:val="0"/>
                <w:numId w:val="9"/>
              </w:numPr>
              <w:overflowPunct/>
              <w:autoSpaceDE/>
              <w:autoSpaceDN/>
              <w:adjustRightInd/>
              <w:spacing w:before="60" w:after="180" w:line="360" w:lineRule="atLeast"/>
              <w:textAlignment w:val="auto"/>
              <w:rPr>
                <w:rFonts w:cs="Arial"/>
                <w:lang w:val="en-US"/>
              </w:rPr>
            </w:pPr>
            <w:r w:rsidRPr="007D594C">
              <w:rPr>
                <w:rFonts w:cs="Arial"/>
                <w:lang w:val="en-US"/>
              </w:rPr>
              <w:t>Working assumption: only one SL BWP is configured in a carrier for a NR V2X UE</w:t>
            </w:r>
          </w:p>
          <w:p w14:paraId="3FE1A637" w14:textId="77777777" w:rsidR="007D594C" w:rsidRPr="00A34732" w:rsidRDefault="007D594C" w:rsidP="007D594C">
            <w:pPr>
              <w:spacing w:before="60" w:after="180" w:line="360" w:lineRule="atLeast"/>
              <w:rPr>
                <w:sz w:val="26"/>
                <w:szCs w:val="26"/>
                <w:lang w:eastAsia="ko-KR"/>
              </w:rPr>
            </w:pPr>
            <w:r w:rsidRPr="00A34732">
              <w:rPr>
                <w:sz w:val="26"/>
                <w:szCs w:val="26"/>
                <w:highlight w:val="green"/>
                <w:lang w:eastAsia="ko-KR"/>
              </w:rPr>
              <w:t>Agreements</w:t>
            </w:r>
            <w:r w:rsidRPr="00A34732">
              <w:rPr>
                <w:sz w:val="26"/>
                <w:szCs w:val="26"/>
                <w:lang w:eastAsia="ko-KR"/>
              </w:rPr>
              <w:t>:</w:t>
            </w:r>
          </w:p>
          <w:p w14:paraId="4EB25B41" w14:textId="77777777" w:rsidR="007D594C" w:rsidRPr="007D594C" w:rsidRDefault="007D594C" w:rsidP="007D594C">
            <w:pPr>
              <w:numPr>
                <w:ilvl w:val="0"/>
                <w:numId w:val="9"/>
              </w:numPr>
              <w:overflowPunct/>
              <w:autoSpaceDE/>
              <w:autoSpaceDN/>
              <w:adjustRightInd/>
              <w:spacing w:before="60" w:after="180" w:line="360" w:lineRule="atLeast"/>
              <w:textAlignment w:val="auto"/>
              <w:rPr>
                <w:rFonts w:cs="Arial"/>
                <w:lang w:val="en-US"/>
              </w:rPr>
            </w:pPr>
            <w:r w:rsidRPr="007D594C">
              <w:rPr>
                <w:rFonts w:cs="Arial"/>
                <w:lang w:val="en-US"/>
              </w:rPr>
              <w:t>C</w:t>
            </w:r>
            <w:r w:rsidRPr="007D594C">
              <w:rPr>
                <w:rFonts w:cs="Arial" w:hint="eastAsia"/>
                <w:lang w:val="en-US"/>
              </w:rPr>
              <w:t xml:space="preserve">onfiguration for </w:t>
            </w:r>
            <w:r w:rsidRPr="007D594C">
              <w:rPr>
                <w:rFonts w:cs="Arial"/>
                <w:lang w:val="en-US"/>
              </w:rPr>
              <w:t>SL BWP</w:t>
            </w:r>
            <w:r w:rsidRPr="007D594C">
              <w:rPr>
                <w:rFonts w:cs="Arial" w:hint="eastAsia"/>
                <w:lang w:val="en-US"/>
              </w:rPr>
              <w:t xml:space="preserve"> is separated from Uu BWP configuration </w:t>
            </w:r>
            <w:r w:rsidRPr="007D594C">
              <w:rPr>
                <w:rFonts w:cs="Arial"/>
                <w:lang w:val="en-US"/>
              </w:rPr>
              <w:t>signalling</w:t>
            </w:r>
            <w:r w:rsidRPr="007D594C">
              <w:rPr>
                <w:rFonts w:cs="Arial" w:hint="eastAsia"/>
                <w:lang w:val="en-US"/>
              </w:rPr>
              <w:t>.</w:t>
            </w:r>
          </w:p>
          <w:p w14:paraId="2B63AD33" w14:textId="77777777" w:rsidR="007D594C" w:rsidRPr="007D594C" w:rsidRDefault="007D594C" w:rsidP="007D594C">
            <w:pPr>
              <w:numPr>
                <w:ilvl w:val="1"/>
                <w:numId w:val="9"/>
              </w:numPr>
              <w:overflowPunct/>
              <w:autoSpaceDE/>
              <w:autoSpaceDN/>
              <w:adjustRightInd/>
              <w:spacing w:before="60" w:after="180" w:line="360" w:lineRule="atLeast"/>
              <w:textAlignment w:val="auto"/>
              <w:rPr>
                <w:rFonts w:cs="Arial"/>
                <w:lang w:val="en-US"/>
              </w:rPr>
            </w:pPr>
            <w:r w:rsidRPr="007D594C">
              <w:rPr>
                <w:rFonts w:cs="Arial" w:hint="eastAsia"/>
                <w:lang w:val="en-US"/>
              </w:rPr>
              <w:t xml:space="preserve">UE is not expected to use different </w:t>
            </w:r>
            <w:r w:rsidRPr="007D594C">
              <w:rPr>
                <w:rFonts w:cs="Arial"/>
                <w:lang w:val="en-US"/>
              </w:rPr>
              <w:t>numerology</w:t>
            </w:r>
            <w:r w:rsidRPr="007D594C">
              <w:rPr>
                <w:rFonts w:cs="Arial" w:hint="eastAsia"/>
                <w:lang w:val="en-US"/>
              </w:rPr>
              <w:t xml:space="preserve"> in the configured SL BWP and </w:t>
            </w:r>
            <w:r w:rsidRPr="007D594C">
              <w:rPr>
                <w:rFonts w:cs="Arial"/>
                <w:lang w:val="en-US"/>
              </w:rPr>
              <w:t>active</w:t>
            </w:r>
            <w:r w:rsidRPr="007D594C">
              <w:rPr>
                <w:rFonts w:cs="Arial" w:hint="eastAsia"/>
                <w:lang w:val="en-US"/>
              </w:rPr>
              <w:t xml:space="preserve"> UL BWP in the same carrier at a given time.</w:t>
            </w:r>
          </w:p>
          <w:p w14:paraId="29F8362D" w14:textId="77777777" w:rsidR="007D594C" w:rsidRPr="007D594C" w:rsidRDefault="007D594C" w:rsidP="007D594C">
            <w:pPr>
              <w:numPr>
                <w:ilvl w:val="2"/>
                <w:numId w:val="9"/>
              </w:numPr>
              <w:overflowPunct/>
              <w:autoSpaceDE/>
              <w:autoSpaceDN/>
              <w:adjustRightInd/>
              <w:spacing w:before="60" w:after="180" w:line="360" w:lineRule="atLeast"/>
              <w:textAlignment w:val="auto"/>
              <w:rPr>
                <w:rFonts w:cs="Arial"/>
                <w:lang w:val="en-US"/>
              </w:rPr>
            </w:pPr>
            <w:r w:rsidRPr="007D594C">
              <w:rPr>
                <w:rFonts w:cs="Arial" w:hint="eastAsia"/>
                <w:lang w:val="en-US"/>
              </w:rPr>
              <w:t>FFS the time scale</w:t>
            </w:r>
          </w:p>
          <w:p w14:paraId="32431C1D" w14:textId="77777777" w:rsidR="007D594C" w:rsidRPr="007D594C" w:rsidRDefault="007D594C" w:rsidP="007D594C">
            <w:pPr>
              <w:numPr>
                <w:ilvl w:val="2"/>
                <w:numId w:val="9"/>
              </w:numPr>
              <w:overflowPunct/>
              <w:autoSpaceDE/>
              <w:autoSpaceDN/>
              <w:adjustRightInd/>
              <w:spacing w:before="60" w:after="180" w:line="360" w:lineRule="atLeast"/>
              <w:textAlignment w:val="auto"/>
              <w:rPr>
                <w:rFonts w:cs="Arial"/>
                <w:lang w:val="en-US"/>
              </w:rPr>
            </w:pPr>
            <w:r w:rsidRPr="007D594C">
              <w:rPr>
                <w:rFonts w:cs="Arial" w:hint="eastAsia"/>
                <w:lang w:val="en-US"/>
              </w:rPr>
              <w:t>FFS relation to DL BWP including initial Uu BWP</w:t>
            </w:r>
          </w:p>
          <w:p w14:paraId="539A4E1D" w14:textId="77777777" w:rsidR="007D594C" w:rsidRPr="007D594C" w:rsidRDefault="007D594C" w:rsidP="007D594C">
            <w:pPr>
              <w:numPr>
                <w:ilvl w:val="2"/>
                <w:numId w:val="9"/>
              </w:numPr>
              <w:overflowPunct/>
              <w:autoSpaceDE/>
              <w:autoSpaceDN/>
              <w:adjustRightInd/>
              <w:spacing w:before="60" w:after="180" w:line="360" w:lineRule="atLeast"/>
              <w:textAlignment w:val="auto"/>
              <w:rPr>
                <w:rFonts w:cs="Arial"/>
                <w:lang w:val="en-US"/>
              </w:rPr>
            </w:pPr>
            <w:r w:rsidRPr="007D594C">
              <w:rPr>
                <w:rFonts w:cs="Arial" w:hint="eastAsia"/>
                <w:lang w:val="en-US"/>
              </w:rPr>
              <w:t>FFS relation in terms of frequency location and bandwidth</w:t>
            </w:r>
          </w:p>
          <w:p w14:paraId="3DB9F2E8" w14:textId="50AF7E13" w:rsidR="007D594C" w:rsidRPr="007D594C" w:rsidRDefault="007D594C" w:rsidP="007D594C">
            <w:pPr>
              <w:overflowPunct/>
              <w:autoSpaceDE/>
              <w:autoSpaceDN/>
              <w:adjustRightInd/>
              <w:spacing w:after="0"/>
              <w:jc w:val="left"/>
              <w:textAlignment w:val="auto"/>
            </w:pPr>
          </w:p>
        </w:tc>
      </w:tr>
    </w:tbl>
    <w:p w14:paraId="5A9D3D56" w14:textId="4DCF8A15" w:rsidR="00C64819" w:rsidRDefault="00C64819" w:rsidP="00C64819">
      <w:pPr>
        <w:pStyle w:val="BodyText"/>
      </w:pPr>
    </w:p>
    <w:p w14:paraId="2DF128F6" w14:textId="2D8E53B2" w:rsidR="00965E2E" w:rsidRDefault="00965E2E" w:rsidP="00C64819">
      <w:pPr>
        <w:pStyle w:val="BodyText"/>
      </w:pPr>
      <w:r>
        <w:t>In this paper, we analyse the impact on BWP, mainly focusing on RAN2 issues.</w:t>
      </w:r>
    </w:p>
    <w:p w14:paraId="5D46E362" w14:textId="77777777" w:rsidR="00C64819" w:rsidRDefault="00C64819" w:rsidP="00C64819">
      <w:pPr>
        <w:pStyle w:val="Heading1"/>
      </w:pPr>
      <w:bookmarkStart w:id="5" w:name="_Ref489281230"/>
      <w:r>
        <w:t>Discussion</w:t>
      </w:r>
      <w:bookmarkEnd w:id="3"/>
      <w:bookmarkEnd w:id="5"/>
    </w:p>
    <w:p w14:paraId="1AD73EDC" w14:textId="42C42004" w:rsidR="005C7DEC" w:rsidRDefault="005C7DEC" w:rsidP="008A559B">
      <w:pPr>
        <w:rPr>
          <w:rFonts w:cs="Arial"/>
        </w:rPr>
      </w:pPr>
      <w:r>
        <w:rPr>
          <w:rFonts w:cs="Arial"/>
        </w:rPr>
        <w:t>As highlight in above section, RAN1 has concluded in the last RAN1 meeting, there will be SL BWP in NR, but that there will be only one BWP configured in a given SL carrier.</w:t>
      </w:r>
      <w:r w:rsidR="00905F88">
        <w:rPr>
          <w:rFonts w:cs="Arial"/>
        </w:rPr>
        <w:t xml:space="preserve"> Therefore, RAN2 does not need to handle procedures about activation/deactivation of SL BWP.</w:t>
      </w:r>
    </w:p>
    <w:p w14:paraId="0B4720DB" w14:textId="36DB4686" w:rsidR="00905F88" w:rsidRDefault="00905F88" w:rsidP="00905F88">
      <w:pPr>
        <w:pStyle w:val="Observation"/>
      </w:pPr>
      <w:bookmarkStart w:id="6" w:name="_Toc987708"/>
      <w:bookmarkStart w:id="7" w:name="_Toc1060942"/>
      <w:r>
        <w:t xml:space="preserve">RAN1 agreed that </w:t>
      </w:r>
      <w:r w:rsidRPr="007D594C">
        <w:rPr>
          <w:rFonts w:cs="Arial"/>
          <w:lang w:val="en-US" w:eastAsia="en-US"/>
        </w:rPr>
        <w:t>only one SL BWP is configured in a carrier for a NR V2X UE</w:t>
      </w:r>
      <w:r>
        <w:rPr>
          <w:rFonts w:cs="Arial"/>
          <w:lang w:val="en-US" w:eastAsia="en-US"/>
        </w:rPr>
        <w:t>, therefore RAN2 does not need to specify procedures to activate/deactivate a SL BWP.</w:t>
      </w:r>
      <w:bookmarkEnd w:id="6"/>
      <w:bookmarkEnd w:id="7"/>
    </w:p>
    <w:p w14:paraId="11D6B68B" w14:textId="5BEDD4D1" w:rsidR="00CD428D" w:rsidRPr="004A445F" w:rsidRDefault="005C7DEC" w:rsidP="008A559B">
      <w:pPr>
        <w:rPr>
          <w:rFonts w:cs="Arial"/>
        </w:rPr>
      </w:pPr>
      <w:r>
        <w:rPr>
          <w:rFonts w:cs="Arial"/>
        </w:rPr>
        <w:lastRenderedPageBreak/>
        <w:t>In our understanding,</w:t>
      </w:r>
      <w:r w:rsidR="00C64819">
        <w:rPr>
          <w:rFonts w:cs="Arial"/>
        </w:rPr>
        <w:t xml:space="preserve"> the notion of resource pool is more general than that of BWP since pools can be defined in time and frequency domain whereas BWPs only refer to the frequency domain. </w:t>
      </w:r>
      <w:r w:rsidR="00C64819" w:rsidRPr="004A445F">
        <w:rPr>
          <w:rFonts w:cs="Arial"/>
        </w:rPr>
        <w:t xml:space="preserve">Also, it may happen that dedicated resource pools are configured by gNB to certain UEs. Therefore, it </w:t>
      </w:r>
      <w:r w:rsidR="00C64819">
        <w:rPr>
          <w:rFonts w:cs="Arial"/>
        </w:rPr>
        <w:t>will be</w:t>
      </w:r>
      <w:r w:rsidR="00C64819" w:rsidRPr="004A445F">
        <w:rPr>
          <w:rFonts w:cs="Arial"/>
        </w:rPr>
        <w:t xml:space="preserve"> beneficial to reuse the concept of resource pool within the SL-BWP. </w:t>
      </w:r>
      <w:r w:rsidR="00C64819">
        <w:rPr>
          <w:rFonts w:cs="Arial"/>
        </w:rPr>
        <w:t xml:space="preserve">Moreover, </w:t>
      </w:r>
      <w:r w:rsidR="00C64819" w:rsidRPr="00FD008E">
        <w:rPr>
          <w:rFonts w:cs="Arial"/>
        </w:rPr>
        <w:t xml:space="preserve">since a UE needs to monitor the (pre-)configured resource pools to decode SCI, it is natural that </w:t>
      </w:r>
      <w:r w:rsidR="00CD428D">
        <w:rPr>
          <w:rFonts w:cs="Arial"/>
        </w:rPr>
        <w:t xml:space="preserve">a transmitting </w:t>
      </w:r>
      <w:r w:rsidR="00C64819" w:rsidRPr="00FD008E">
        <w:rPr>
          <w:rFonts w:cs="Arial"/>
        </w:rPr>
        <w:t>resource pool is ‘narrower’ in frequency compared to BWP.</w:t>
      </w:r>
      <w:r w:rsidR="00C64819">
        <w:rPr>
          <w:rFonts w:cs="Arial"/>
        </w:rPr>
        <w:t xml:space="preserve"> </w:t>
      </w:r>
      <w:r w:rsidR="00C64819" w:rsidRPr="00FD008E">
        <w:rPr>
          <w:rFonts w:cs="Arial"/>
        </w:rPr>
        <w:t>Note that in NR Rel-15, a UE is not required to monitor/receive/transmit anything outside an active BWP.</w:t>
      </w:r>
    </w:p>
    <w:p w14:paraId="18DDE3F8" w14:textId="1FE0973E" w:rsidR="00C64819" w:rsidRDefault="00AC5020" w:rsidP="00C64819">
      <w:pPr>
        <w:pStyle w:val="Proposal"/>
        <w:rPr>
          <w:lang w:val="en-US"/>
        </w:rPr>
      </w:pPr>
      <w:bookmarkStart w:id="8" w:name="_Toc525729829"/>
      <w:bookmarkStart w:id="9" w:name="_Toc525815568"/>
      <w:bookmarkStart w:id="10" w:name="_Toc525828907"/>
      <w:bookmarkStart w:id="11" w:name="_Toc528515237"/>
      <w:bookmarkStart w:id="12" w:name="_Toc528515246"/>
      <w:bookmarkStart w:id="13" w:name="_Toc528721999"/>
      <w:bookmarkStart w:id="14" w:name="_Toc528852512"/>
      <w:bookmarkStart w:id="15" w:name="_Toc987493"/>
      <w:bookmarkStart w:id="16" w:name="_Toc987709"/>
      <w:bookmarkStart w:id="17" w:name="_Toc1060943"/>
      <w:r>
        <w:t>A SL TX</w:t>
      </w:r>
      <w:r w:rsidR="00332EC4">
        <w:t xml:space="preserve"> </w:t>
      </w:r>
      <w:r w:rsidR="00C64819">
        <w:rPr>
          <w:lang w:val="en-US"/>
        </w:rPr>
        <w:t xml:space="preserve">pool </w:t>
      </w:r>
      <w:r>
        <w:rPr>
          <w:lang w:val="en-US"/>
        </w:rPr>
        <w:t>is defined as a set of time frequency resources whose frequency component is a subset of the SL BWP</w:t>
      </w:r>
      <w:r w:rsidR="00C64819">
        <w:rPr>
          <w:lang w:val="en-US"/>
        </w:rPr>
        <w:t>.</w:t>
      </w:r>
      <w:bookmarkEnd w:id="8"/>
      <w:bookmarkEnd w:id="9"/>
      <w:bookmarkEnd w:id="10"/>
      <w:bookmarkEnd w:id="11"/>
      <w:bookmarkEnd w:id="12"/>
      <w:bookmarkEnd w:id="13"/>
      <w:bookmarkEnd w:id="14"/>
      <w:bookmarkEnd w:id="15"/>
      <w:bookmarkEnd w:id="16"/>
      <w:bookmarkEnd w:id="17"/>
      <w:r w:rsidR="00C64819">
        <w:rPr>
          <w:lang w:val="en-US"/>
        </w:rPr>
        <w:t xml:space="preserve"> </w:t>
      </w:r>
    </w:p>
    <w:p w14:paraId="11AE082D" w14:textId="201D57CC" w:rsidR="00203D1D" w:rsidRPr="00203D1D" w:rsidRDefault="00203D1D" w:rsidP="00203D1D">
      <w:pPr>
        <w:rPr>
          <w:rFonts w:ascii="Calibri" w:hAnsi="Calibri"/>
          <w:lang w:val="en-US"/>
        </w:rPr>
      </w:pPr>
      <w:r>
        <w:t>It was also agreed in RAN1#94bis that multiple resource pools can be configured to a single UE. This is similar to LTE TX resource pools configuration</w:t>
      </w:r>
      <w:r w:rsidR="00234619">
        <w:t>, e.g. when the eNB configures the UE with different pools for different zones</w:t>
      </w:r>
      <w:r>
        <w:t xml:space="preserve">. However, a UE should select one TX pools out of the configured resource pools based on certain criteria. For example, based on its geographical location and/or its RF bandwidth. </w:t>
      </w:r>
    </w:p>
    <w:p w14:paraId="5C7C680F" w14:textId="0E3FC8BB" w:rsidR="00203D1D" w:rsidRDefault="009C3A92" w:rsidP="00203D1D">
      <w:pPr>
        <w:pStyle w:val="Proposal"/>
        <w:rPr>
          <w:lang w:eastAsia="en-US"/>
        </w:rPr>
      </w:pPr>
      <w:bookmarkStart w:id="18" w:name="_Toc963003"/>
      <w:bookmarkStart w:id="19" w:name="_Toc534811032"/>
      <w:bookmarkStart w:id="20" w:name="_Toc1060944"/>
      <w:r>
        <w:rPr>
          <w:lang w:eastAsia="en-US"/>
        </w:rPr>
        <w:t>As in LTE, a</w:t>
      </w:r>
      <w:r w:rsidR="00203D1D">
        <w:rPr>
          <w:lang w:eastAsia="en-US"/>
        </w:rPr>
        <w:t>lthough multiple resource pools can be configured to a single UE, the UE choose</w:t>
      </w:r>
      <w:r w:rsidR="00375FE5">
        <w:rPr>
          <w:lang w:eastAsia="en-US"/>
        </w:rPr>
        <w:t>s</w:t>
      </w:r>
      <w:r w:rsidR="00203D1D">
        <w:rPr>
          <w:lang w:eastAsia="en-US"/>
        </w:rPr>
        <w:t xml:space="preserve"> one TX pool.</w:t>
      </w:r>
      <w:bookmarkEnd w:id="18"/>
      <w:bookmarkEnd w:id="19"/>
      <w:bookmarkEnd w:id="20"/>
      <w:r w:rsidR="00203D1D">
        <w:rPr>
          <w:lang w:eastAsia="en-US"/>
        </w:rPr>
        <w:t xml:space="preserve"> </w:t>
      </w:r>
    </w:p>
    <w:p w14:paraId="15DF4218" w14:textId="0A2F6776" w:rsidR="00C64819" w:rsidRDefault="00E15B3A" w:rsidP="00C64819">
      <w:pPr>
        <w:rPr>
          <w:lang w:val="en-US"/>
        </w:rPr>
      </w:pPr>
      <w:r>
        <w:rPr>
          <w:lang w:val="en-US"/>
        </w:rPr>
        <w:t xml:space="preserve">Regarding </w:t>
      </w:r>
      <w:r w:rsidR="00190CD8">
        <w:rPr>
          <w:lang w:val="en-US"/>
        </w:rPr>
        <w:t xml:space="preserve">the receiving pool, one may wonder what </w:t>
      </w:r>
      <w:r w:rsidR="007F090A">
        <w:rPr>
          <w:lang w:val="en-US"/>
        </w:rPr>
        <w:t>the difference between SL BWP and RX pool is</w:t>
      </w:r>
      <w:r w:rsidR="00190CD8">
        <w:rPr>
          <w:lang w:val="en-US"/>
        </w:rPr>
        <w:t xml:space="preserve">. </w:t>
      </w:r>
      <w:r w:rsidR="007F090A">
        <w:rPr>
          <w:lang w:val="en-US"/>
        </w:rPr>
        <w:t>We note that a BWP indicates the portion of the spectrum in which the UE receives transmissions of a certain numerology. Therefore, from frequency perspective there can be a one-to-one association between RX pool and BWP. However, while in Uu the time resources in which the UE shall monitor DL transmissions are handled by DRX, in SL there is the need to define an RX pool to account for the time resources in which th</w:t>
      </w:r>
      <w:r w:rsidR="002C0C29">
        <w:rPr>
          <w:lang w:val="en-US"/>
        </w:rPr>
        <w:t>e UE shall monitor SL transmi</w:t>
      </w:r>
      <w:r w:rsidR="007F090A">
        <w:rPr>
          <w:lang w:val="en-US"/>
        </w:rPr>
        <w:t>ssions.</w:t>
      </w:r>
    </w:p>
    <w:p w14:paraId="7CE16EA6" w14:textId="07729997" w:rsidR="002C0C29" w:rsidRPr="00C64819" w:rsidRDefault="00AC5020" w:rsidP="002C0C29">
      <w:pPr>
        <w:pStyle w:val="Proposal"/>
        <w:rPr>
          <w:lang w:val="en-US"/>
        </w:rPr>
      </w:pPr>
      <w:bookmarkStart w:id="21" w:name="_Toc528515239"/>
      <w:bookmarkStart w:id="22" w:name="_Toc528515248"/>
      <w:bookmarkStart w:id="23" w:name="_Toc528722001"/>
      <w:bookmarkStart w:id="24" w:name="_Toc528852513"/>
      <w:bookmarkStart w:id="25" w:name="_Toc987494"/>
      <w:bookmarkStart w:id="26" w:name="_Toc987710"/>
      <w:bookmarkStart w:id="27" w:name="_Toc1060945"/>
      <w:r>
        <w:rPr>
          <w:lang w:val="en-US"/>
        </w:rPr>
        <w:t>A</w:t>
      </w:r>
      <w:r w:rsidR="00057476">
        <w:rPr>
          <w:lang w:val="en-US"/>
        </w:rPr>
        <w:t xml:space="preserve"> </w:t>
      </w:r>
      <w:r>
        <w:rPr>
          <w:lang w:val="en-US"/>
        </w:rPr>
        <w:t xml:space="preserve">SL </w:t>
      </w:r>
      <w:r w:rsidR="00057476">
        <w:rPr>
          <w:lang w:val="en-US"/>
        </w:rPr>
        <w:t>RX pool is defined as a set of time/frequency resources whose frequency component is equal to the SL BWP.</w:t>
      </w:r>
      <w:bookmarkEnd w:id="21"/>
      <w:bookmarkEnd w:id="22"/>
      <w:bookmarkEnd w:id="23"/>
      <w:bookmarkEnd w:id="24"/>
      <w:bookmarkEnd w:id="25"/>
      <w:bookmarkEnd w:id="26"/>
      <w:bookmarkEnd w:id="27"/>
      <w:r w:rsidR="00057476">
        <w:rPr>
          <w:lang w:val="en-US"/>
        </w:rPr>
        <w:t xml:space="preserve"> </w:t>
      </w:r>
    </w:p>
    <w:p w14:paraId="30F75721" w14:textId="77777777" w:rsidR="00C64819" w:rsidRPr="00CE0424" w:rsidRDefault="00C64819" w:rsidP="00C64819">
      <w:pPr>
        <w:pStyle w:val="Heading1"/>
      </w:pPr>
      <w:bookmarkStart w:id="28" w:name="_Toc458380516"/>
      <w:bookmarkStart w:id="29" w:name="_Toc458380524"/>
      <w:bookmarkEnd w:id="4"/>
      <w:bookmarkEnd w:id="28"/>
      <w:bookmarkEnd w:id="29"/>
      <w:r w:rsidRPr="00CE0424">
        <w:t>Conclusion</w:t>
      </w:r>
    </w:p>
    <w:p w14:paraId="1BD6609C" w14:textId="4004E3F3" w:rsidR="00C64819" w:rsidRDefault="00C64819" w:rsidP="00C64819">
      <w:bookmarkStart w:id="30" w:name="_In-sequence_SDU_delivery"/>
      <w:bookmarkEnd w:id="30"/>
      <w:r>
        <w:t xml:space="preserve">In section </w:t>
      </w:r>
      <w:r>
        <w:fldChar w:fldCharType="begin"/>
      </w:r>
      <w:r>
        <w:instrText xml:space="preserve"> REF _Ref489281230 \r \h </w:instrText>
      </w:r>
      <w:r>
        <w:fldChar w:fldCharType="separate"/>
      </w:r>
      <w:r w:rsidR="002A00E2">
        <w:t>2</w:t>
      </w:r>
      <w:r>
        <w:fldChar w:fldCharType="end"/>
      </w:r>
      <w:r>
        <w:t xml:space="preserve"> we made the following observations:</w:t>
      </w:r>
    </w:p>
    <w:p w14:paraId="5AD38D93" w14:textId="77777777" w:rsidR="002A00E2" w:rsidRPr="002A00E2" w:rsidRDefault="00612860">
      <w:pPr>
        <w:pStyle w:val="TOC1"/>
        <w:rPr>
          <w:rFonts w:asciiTheme="minorHAnsi" w:eastAsiaTheme="minorEastAsia" w:hAnsiTheme="minorHAnsi" w:cstheme="minorBidi"/>
          <w:b w:val="0"/>
          <w:sz w:val="22"/>
          <w:lang w:eastAsia="sv-SE"/>
        </w:rPr>
      </w:pPr>
      <w:r>
        <w:rPr>
          <w:bCs/>
        </w:rPr>
        <w:fldChar w:fldCharType="begin"/>
      </w:r>
      <w:r>
        <w:rPr>
          <w:bCs/>
        </w:rPr>
        <w:instrText xml:space="preserve"> TOC \n \p " " \t "Observation;1" </w:instrText>
      </w:r>
      <w:r>
        <w:rPr>
          <w:bCs/>
        </w:rPr>
        <w:fldChar w:fldCharType="separate"/>
      </w:r>
      <w:r w:rsidR="002A00E2">
        <w:t>Observation 1</w:t>
      </w:r>
      <w:r w:rsidR="002A00E2" w:rsidRPr="002A00E2">
        <w:rPr>
          <w:rFonts w:asciiTheme="minorHAnsi" w:eastAsiaTheme="minorEastAsia" w:hAnsiTheme="minorHAnsi" w:cstheme="minorBidi"/>
          <w:b w:val="0"/>
          <w:sz w:val="22"/>
          <w:lang w:eastAsia="sv-SE"/>
        </w:rPr>
        <w:tab/>
      </w:r>
      <w:r w:rsidR="002A00E2">
        <w:t xml:space="preserve">RAN1 agreed that </w:t>
      </w:r>
      <w:r w:rsidR="002A00E2" w:rsidRPr="00FA234F">
        <w:rPr>
          <w:rFonts w:cs="Arial"/>
          <w:lang w:eastAsia="en-US"/>
        </w:rPr>
        <w:t>only one SL BWP is configured in a carrier for a NR V2X UE, therefore RAN2 does not need to specify procedures to activate/deactivate a SL BWP.</w:t>
      </w:r>
    </w:p>
    <w:p w14:paraId="0BB911A2" w14:textId="2F75F20C" w:rsidR="00C64819" w:rsidRDefault="00612860" w:rsidP="00C64819">
      <w:pPr>
        <w:pStyle w:val="BodyText"/>
        <w:rPr>
          <w:b/>
          <w:bCs/>
          <w:highlight w:val="yellow"/>
        </w:rPr>
      </w:pPr>
      <w:r>
        <w:rPr>
          <w:bCs/>
          <w:noProof/>
          <w:szCs w:val="22"/>
          <w:lang w:val="en-US"/>
        </w:rPr>
        <w:fldChar w:fldCharType="end"/>
      </w:r>
    </w:p>
    <w:p w14:paraId="55E6344A" w14:textId="58D2F1BE" w:rsidR="00C64819" w:rsidRDefault="00C64819" w:rsidP="00C64819">
      <w:r>
        <w:t xml:space="preserve">Based on the discussion in section </w:t>
      </w:r>
      <w:r>
        <w:fldChar w:fldCharType="begin"/>
      </w:r>
      <w:r>
        <w:instrText xml:space="preserve"> REF _Ref489281230 \r \h </w:instrText>
      </w:r>
      <w:r>
        <w:fldChar w:fldCharType="separate"/>
      </w:r>
      <w:r w:rsidR="002A00E2">
        <w:t>2</w:t>
      </w:r>
      <w:r>
        <w:fldChar w:fldCharType="end"/>
      </w:r>
      <w:r>
        <w:t xml:space="preserve"> we propose the following:</w:t>
      </w:r>
    </w:p>
    <w:p w14:paraId="70697F12" w14:textId="77777777" w:rsidR="002A00E2" w:rsidRPr="002A00E2" w:rsidRDefault="00612860">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\f \n \p " " \t "Proposal;1" </w:instrText>
      </w:r>
      <w:r>
        <w:rPr>
          <w:b w:val="0"/>
          <w:bCs/>
        </w:rPr>
        <w:fldChar w:fldCharType="separate"/>
      </w:r>
      <w:r w:rsidR="002A00E2" w:rsidRPr="00831263">
        <w:t>Proposal 1</w:t>
      </w:r>
      <w:r w:rsidR="002A00E2" w:rsidRPr="002A00E2">
        <w:rPr>
          <w:rFonts w:asciiTheme="minorHAnsi" w:eastAsiaTheme="minorEastAsia" w:hAnsiTheme="minorHAnsi" w:cstheme="minorBidi"/>
          <w:b w:val="0"/>
          <w:sz w:val="22"/>
          <w:lang w:eastAsia="sv-SE"/>
        </w:rPr>
        <w:tab/>
      </w:r>
      <w:r w:rsidR="002A00E2">
        <w:t xml:space="preserve">A SL TX </w:t>
      </w:r>
      <w:r w:rsidR="002A00E2" w:rsidRPr="00831263">
        <w:t>pool is defined as a set of time frequency resources whose frequency component is a subset of the SL BWP.</w:t>
      </w:r>
    </w:p>
    <w:p w14:paraId="1A3CDB97" w14:textId="77777777" w:rsidR="002A00E2" w:rsidRPr="002A00E2" w:rsidRDefault="002A00E2">
      <w:pPr>
        <w:pStyle w:val="TOC1"/>
        <w:rPr>
          <w:rFonts w:asciiTheme="minorHAnsi" w:eastAsiaTheme="minorEastAsia" w:hAnsiTheme="minorHAnsi" w:cstheme="minorBidi"/>
          <w:b w:val="0"/>
          <w:sz w:val="22"/>
          <w:lang w:eastAsia="sv-SE"/>
        </w:rPr>
      </w:pPr>
      <w:r>
        <w:rPr>
          <w:lang w:eastAsia="en-US"/>
        </w:rPr>
        <w:t>Proposal 2</w:t>
      </w:r>
      <w:r w:rsidRPr="002A00E2">
        <w:rPr>
          <w:rFonts w:asciiTheme="minorHAnsi" w:eastAsiaTheme="minorEastAsia" w:hAnsiTheme="minorHAnsi" w:cstheme="minorBidi"/>
          <w:b w:val="0"/>
          <w:sz w:val="22"/>
          <w:lang w:eastAsia="sv-SE"/>
        </w:rPr>
        <w:tab/>
      </w:r>
      <w:r>
        <w:rPr>
          <w:lang w:eastAsia="en-US"/>
        </w:rPr>
        <w:t>As in LTE, although multiple resource pools can be configured to a single UE, the UE choose one TX pool.</w:t>
      </w:r>
    </w:p>
    <w:p w14:paraId="2BC0E1AF" w14:textId="77777777" w:rsidR="002A00E2" w:rsidRPr="002A00E2" w:rsidRDefault="002A00E2">
      <w:pPr>
        <w:pStyle w:val="TOC1"/>
        <w:rPr>
          <w:rFonts w:asciiTheme="minorHAnsi" w:eastAsiaTheme="minorEastAsia" w:hAnsiTheme="minorHAnsi" w:cstheme="minorBidi"/>
          <w:b w:val="0"/>
          <w:sz w:val="22"/>
          <w:lang w:eastAsia="sv-SE"/>
        </w:rPr>
      </w:pPr>
      <w:r w:rsidRPr="00831263">
        <w:t>Proposal 3</w:t>
      </w:r>
      <w:r w:rsidRPr="002A00E2">
        <w:rPr>
          <w:rFonts w:asciiTheme="minorHAnsi" w:eastAsiaTheme="minorEastAsia" w:hAnsiTheme="minorHAnsi" w:cstheme="minorBidi"/>
          <w:b w:val="0"/>
          <w:sz w:val="22"/>
          <w:lang w:eastAsia="sv-SE"/>
        </w:rPr>
        <w:tab/>
      </w:r>
      <w:r w:rsidRPr="00831263">
        <w:t>A SL RX pool is defined as a set of time/frequency resources whose frequency component is equal to the SL BWP.</w:t>
      </w:r>
    </w:p>
    <w:p w14:paraId="5F117DF9" w14:textId="09ADECFE" w:rsidR="00365053" w:rsidRPr="00905F88" w:rsidRDefault="00612860" w:rsidP="00905F88">
      <w:pPr>
        <w:pStyle w:val="TOC1"/>
        <w:tabs>
          <w:tab w:val="left" w:pos="1200"/>
          <w:tab w:val="right" w:leader="dot" w:pos="9629"/>
        </w:tabs>
        <w:ind w:left="0" w:firstLine="0"/>
        <w:rPr>
          <w:rFonts w:cs="Arial"/>
        </w:rPr>
      </w:pPr>
      <w:r>
        <w:rPr>
          <w:b w:val="0"/>
          <w:bCs/>
        </w:rPr>
        <w:fldChar w:fldCharType="end"/>
      </w:r>
    </w:p>
    <w:sectPr w:rsidR="00365053" w:rsidRPr="00905F88">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153814" w14:textId="77777777" w:rsidR="00724B2A" w:rsidRDefault="00724B2A">
      <w:pPr>
        <w:spacing w:after="0"/>
      </w:pPr>
      <w:r>
        <w:separator/>
      </w:r>
    </w:p>
  </w:endnote>
  <w:endnote w:type="continuationSeparator" w:id="0">
    <w:p w14:paraId="5817874D" w14:textId="77777777" w:rsidR="00724B2A" w:rsidRDefault="00724B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0E7ED" w14:textId="77777777" w:rsidR="00612C6E" w:rsidRDefault="00C6481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EB4512" w14:textId="77777777" w:rsidR="00724B2A" w:rsidRDefault="00724B2A">
      <w:pPr>
        <w:spacing w:after="0"/>
      </w:pPr>
      <w:r>
        <w:separator/>
      </w:r>
    </w:p>
  </w:footnote>
  <w:footnote w:type="continuationSeparator" w:id="0">
    <w:p w14:paraId="1BB9CFCB" w14:textId="77777777" w:rsidR="00724B2A" w:rsidRDefault="00724B2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C773B" w14:textId="77777777" w:rsidR="00612C6E" w:rsidRDefault="00C6481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 w15:restartNumberingAfterBreak="0">
    <w:nsid w:val="34654C92"/>
    <w:multiLevelType w:val="hybridMultilevel"/>
    <w:tmpl w:val="A4EA2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A86A7F02"/>
    <w:lvl w:ilvl="0" w:tplc="DEE0C40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 w:numId="2">
    <w:abstractNumId w:val="6"/>
  </w:num>
  <w:num w:numId="3">
    <w:abstractNumId w:val="4"/>
  </w:num>
  <w:num w:numId="4">
    <w:abstractNumId w:val="7"/>
  </w:num>
  <w:num w:numId="5">
    <w:abstractNumId w:val="5"/>
  </w:num>
  <w:num w:numId="6">
    <w:abstractNumId w:val="8"/>
  </w:num>
  <w:num w:numId="7">
    <w:abstractNumId w:val="3"/>
  </w:num>
  <w:num w:numId="8">
    <w:abstractNumId w:val="1"/>
  </w:num>
  <w:num w:numId="9">
    <w:abstractNumId w:val="2"/>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hyphenationZone w:val="425"/>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4819"/>
    <w:rsid w:val="00023CBA"/>
    <w:rsid w:val="00057476"/>
    <w:rsid w:val="00122908"/>
    <w:rsid w:val="00134DD4"/>
    <w:rsid w:val="00140CF4"/>
    <w:rsid w:val="00141AD9"/>
    <w:rsid w:val="00166CEF"/>
    <w:rsid w:val="00190CD8"/>
    <w:rsid w:val="001F22F1"/>
    <w:rsid w:val="001F4312"/>
    <w:rsid w:val="00203D1D"/>
    <w:rsid w:val="00217593"/>
    <w:rsid w:val="00234619"/>
    <w:rsid w:val="0025167B"/>
    <w:rsid w:val="002A00E2"/>
    <w:rsid w:val="002C0C29"/>
    <w:rsid w:val="003002BD"/>
    <w:rsid w:val="00332EC4"/>
    <w:rsid w:val="0034708C"/>
    <w:rsid w:val="00365053"/>
    <w:rsid w:val="00375FE5"/>
    <w:rsid w:val="003C2573"/>
    <w:rsid w:val="003E34EF"/>
    <w:rsid w:val="00425443"/>
    <w:rsid w:val="004E13C4"/>
    <w:rsid w:val="005142BF"/>
    <w:rsid w:val="00547A3C"/>
    <w:rsid w:val="005C7DEC"/>
    <w:rsid w:val="005D209C"/>
    <w:rsid w:val="005D2B8C"/>
    <w:rsid w:val="005E2DB3"/>
    <w:rsid w:val="005F4C8C"/>
    <w:rsid w:val="00612860"/>
    <w:rsid w:val="00657B3E"/>
    <w:rsid w:val="006814E6"/>
    <w:rsid w:val="006C381E"/>
    <w:rsid w:val="006C7F20"/>
    <w:rsid w:val="006E71BC"/>
    <w:rsid w:val="00724B2A"/>
    <w:rsid w:val="007902AD"/>
    <w:rsid w:val="007D594C"/>
    <w:rsid w:val="007D749E"/>
    <w:rsid w:val="007F090A"/>
    <w:rsid w:val="008A559B"/>
    <w:rsid w:val="008B06C5"/>
    <w:rsid w:val="00905F88"/>
    <w:rsid w:val="00965E2E"/>
    <w:rsid w:val="009C3A92"/>
    <w:rsid w:val="009D08CB"/>
    <w:rsid w:val="00A273FD"/>
    <w:rsid w:val="00A368EF"/>
    <w:rsid w:val="00A71B04"/>
    <w:rsid w:val="00AC5020"/>
    <w:rsid w:val="00B06D60"/>
    <w:rsid w:val="00B13741"/>
    <w:rsid w:val="00B942FF"/>
    <w:rsid w:val="00BA2338"/>
    <w:rsid w:val="00BD79F3"/>
    <w:rsid w:val="00C64819"/>
    <w:rsid w:val="00CD428D"/>
    <w:rsid w:val="00D03BEB"/>
    <w:rsid w:val="00DF27F2"/>
    <w:rsid w:val="00E15B3A"/>
    <w:rsid w:val="00EC0821"/>
    <w:rsid w:val="00EC4A80"/>
    <w:rsid w:val="00F177C3"/>
    <w:rsid w:val="00F61B4C"/>
    <w:rsid w:val="00F621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886595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64819"/>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next w:val="Normal"/>
    <w:link w:val="Heading1Char"/>
    <w:qFormat/>
    <w:rsid w:val="00C64819"/>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C64819"/>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link w:val="Heading3Char"/>
    <w:qFormat/>
    <w:rsid w:val="00C6481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C64819"/>
    <w:pPr>
      <w:numPr>
        <w:ilvl w:val="3"/>
      </w:numPr>
      <w:outlineLvl w:val="3"/>
    </w:pPr>
    <w:rPr>
      <w:sz w:val="24"/>
      <w:szCs w:val="24"/>
    </w:rPr>
  </w:style>
  <w:style w:type="paragraph" w:styleId="Heading5">
    <w:name w:val="heading 5"/>
    <w:basedOn w:val="Heading4"/>
    <w:next w:val="Normal"/>
    <w:link w:val="Heading5Char"/>
    <w:qFormat/>
    <w:rsid w:val="00C64819"/>
    <w:pPr>
      <w:numPr>
        <w:ilvl w:val="4"/>
      </w:numPr>
      <w:outlineLvl w:val="4"/>
    </w:pPr>
    <w:rPr>
      <w:sz w:val="22"/>
      <w:szCs w:val="22"/>
    </w:rPr>
  </w:style>
  <w:style w:type="paragraph" w:styleId="Heading6">
    <w:name w:val="heading 6"/>
    <w:basedOn w:val="Normal"/>
    <w:next w:val="Normal"/>
    <w:link w:val="Heading6Char"/>
    <w:qFormat/>
    <w:rsid w:val="00C6481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C6481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C64819"/>
    <w:pPr>
      <w:numPr>
        <w:ilvl w:val="7"/>
      </w:numPr>
      <w:outlineLvl w:val="7"/>
    </w:pPr>
  </w:style>
  <w:style w:type="paragraph" w:styleId="Heading9">
    <w:name w:val="heading 9"/>
    <w:basedOn w:val="Heading8"/>
    <w:next w:val="Normal"/>
    <w:link w:val="Heading9Char"/>
    <w:qFormat/>
    <w:rsid w:val="00C6481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64819"/>
    <w:rPr>
      <w:rFonts w:ascii="Arial" w:eastAsia="Times New Roman" w:hAnsi="Arial" w:cs="Arial"/>
      <w:sz w:val="36"/>
      <w:szCs w:val="36"/>
      <w:lang w:val="en-GB"/>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basedOn w:val="DefaultParagraphFont"/>
    <w:link w:val="Heading2"/>
    <w:rsid w:val="00C64819"/>
    <w:rPr>
      <w:rFonts w:ascii="Arial" w:eastAsia="Times New Roman" w:hAnsi="Arial" w:cs="Arial"/>
      <w:sz w:val="32"/>
      <w:szCs w:val="32"/>
      <w:lang w:val="en-GB"/>
    </w:rPr>
  </w:style>
  <w:style w:type="character" w:customStyle="1" w:styleId="Heading3Char">
    <w:name w:val="Heading 3 Char"/>
    <w:aliases w:val="Heading 3 3GPP Char,Underrubrik2 Char,H3 Char,h3 Char,Memo Heading 3 Char,no break Char,hello Char,0H Char,0h Char,3h Char,3H Char,l3 Char,list 3 Char,Head 3 Char,1.1.1 Char,3rd level Char,Major Section Sub Section Char,Head3 Char,31 Char"/>
    <w:basedOn w:val="DefaultParagraphFont"/>
    <w:link w:val="Heading3"/>
    <w:rsid w:val="00C64819"/>
    <w:rPr>
      <w:rFonts w:ascii="Arial" w:eastAsia="Times New Roma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64819"/>
    <w:rPr>
      <w:rFonts w:ascii="Arial" w:eastAsia="Times New Roman" w:hAnsi="Arial" w:cs="Arial"/>
      <w:sz w:val="24"/>
      <w:szCs w:val="24"/>
      <w:lang w:val="en-GB"/>
    </w:rPr>
  </w:style>
  <w:style w:type="character" w:customStyle="1" w:styleId="Heading5Char">
    <w:name w:val="Heading 5 Char"/>
    <w:basedOn w:val="DefaultParagraphFont"/>
    <w:link w:val="Heading5"/>
    <w:rsid w:val="00C64819"/>
    <w:rPr>
      <w:rFonts w:ascii="Arial" w:eastAsia="Times New Roman" w:hAnsi="Arial" w:cs="Arial"/>
      <w:lang w:val="en-GB"/>
    </w:rPr>
  </w:style>
  <w:style w:type="character" w:customStyle="1" w:styleId="Heading6Char">
    <w:name w:val="Heading 6 Char"/>
    <w:basedOn w:val="DefaultParagraphFont"/>
    <w:link w:val="Heading6"/>
    <w:rsid w:val="00C64819"/>
    <w:rPr>
      <w:rFonts w:ascii="Arial" w:eastAsia="Times New Roman" w:hAnsi="Arial" w:cs="Arial"/>
      <w:sz w:val="20"/>
      <w:szCs w:val="20"/>
      <w:lang w:val="en-GB"/>
    </w:rPr>
  </w:style>
  <w:style w:type="character" w:customStyle="1" w:styleId="Heading7Char">
    <w:name w:val="Heading 7 Char"/>
    <w:basedOn w:val="DefaultParagraphFont"/>
    <w:link w:val="Heading7"/>
    <w:rsid w:val="00C64819"/>
    <w:rPr>
      <w:rFonts w:ascii="Arial" w:eastAsia="Times New Roman" w:hAnsi="Arial" w:cs="Arial"/>
      <w:sz w:val="20"/>
      <w:szCs w:val="20"/>
      <w:lang w:val="en-GB"/>
    </w:rPr>
  </w:style>
  <w:style w:type="character" w:customStyle="1" w:styleId="Heading8Char">
    <w:name w:val="Heading 8 Char"/>
    <w:basedOn w:val="DefaultParagraphFont"/>
    <w:link w:val="Heading8"/>
    <w:rsid w:val="00C64819"/>
    <w:rPr>
      <w:rFonts w:ascii="Arial" w:eastAsia="Times New Roman" w:hAnsi="Arial" w:cs="Arial"/>
      <w:sz w:val="20"/>
      <w:szCs w:val="20"/>
      <w:lang w:val="en-GB"/>
    </w:rPr>
  </w:style>
  <w:style w:type="character" w:customStyle="1" w:styleId="Heading9Char">
    <w:name w:val="Heading 9 Char"/>
    <w:basedOn w:val="DefaultParagraphFont"/>
    <w:link w:val="Heading9"/>
    <w:rsid w:val="00C64819"/>
    <w:rPr>
      <w:rFonts w:ascii="Arial" w:eastAsia="Times New Roman" w:hAnsi="Arial" w:cs="Arial"/>
      <w:sz w:val="20"/>
      <w:szCs w:val="20"/>
      <w:lang w:val="en-GB"/>
    </w:rPr>
  </w:style>
  <w:style w:type="paragraph" w:styleId="TOC1">
    <w:name w:val="toc 1"/>
    <w:aliases w:val="Observation TOC2"/>
    <w:uiPriority w:val="39"/>
    <w:rsid w:val="00C6481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rPr>
  </w:style>
  <w:style w:type="paragraph" w:customStyle="1" w:styleId="3GPPHeader">
    <w:name w:val="3GPP_Header"/>
    <w:basedOn w:val="Normal"/>
    <w:rsid w:val="00C64819"/>
    <w:pPr>
      <w:tabs>
        <w:tab w:val="left" w:pos="1701"/>
        <w:tab w:val="right" w:pos="9639"/>
      </w:tabs>
      <w:spacing w:after="240"/>
    </w:pPr>
    <w:rPr>
      <w:b/>
      <w:sz w:val="24"/>
    </w:rPr>
  </w:style>
  <w:style w:type="paragraph" w:styleId="Footer">
    <w:name w:val="footer"/>
    <w:basedOn w:val="Header"/>
    <w:link w:val="FooterChar"/>
    <w:rsid w:val="00C64819"/>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rsid w:val="00C64819"/>
    <w:rPr>
      <w:rFonts w:ascii="Arial" w:eastAsia="Times New Roman" w:hAnsi="Arial" w:cs="Arial"/>
      <w:b/>
      <w:bCs/>
      <w:i/>
      <w:iCs/>
      <w:noProof/>
      <w:sz w:val="18"/>
      <w:szCs w:val="18"/>
    </w:rPr>
  </w:style>
  <w:style w:type="paragraph" w:customStyle="1" w:styleId="Reference">
    <w:name w:val="Reference"/>
    <w:basedOn w:val="Normal"/>
    <w:rsid w:val="00C64819"/>
    <w:pPr>
      <w:numPr>
        <w:numId w:val="2"/>
      </w:numPr>
    </w:pPr>
  </w:style>
  <w:style w:type="character" w:styleId="PageNumber">
    <w:name w:val="page number"/>
    <w:rsid w:val="00C6481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64819"/>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64819"/>
    <w:rPr>
      <w:rFonts w:ascii="Arial" w:eastAsia="Times New Roman" w:hAnsi="Arial" w:cs="Times New Roman"/>
      <w:sz w:val="20"/>
      <w:szCs w:val="20"/>
      <w:lang w:val="en-GB"/>
    </w:rPr>
  </w:style>
  <w:style w:type="paragraph" w:customStyle="1" w:styleId="Proposal">
    <w:name w:val="Proposal"/>
    <w:basedOn w:val="Normal"/>
    <w:qFormat/>
    <w:rsid w:val="00C64819"/>
    <w:pPr>
      <w:numPr>
        <w:numId w:val="3"/>
      </w:numPr>
      <w:tabs>
        <w:tab w:val="clear" w:pos="1304"/>
        <w:tab w:val="left" w:pos="1701"/>
      </w:tabs>
      <w:ind w:left="1701" w:hanging="1701"/>
    </w:pPr>
    <w:rPr>
      <w:b/>
      <w:bCs/>
    </w:rPr>
  </w:style>
  <w:style w:type="paragraph" w:customStyle="1" w:styleId="Observation">
    <w:name w:val="Observation"/>
    <w:basedOn w:val="Proposal"/>
    <w:qFormat/>
    <w:rsid w:val="00C64819"/>
    <w:pPr>
      <w:numPr>
        <w:numId w:val="4"/>
      </w:numPr>
      <w:ind w:left="1701" w:hanging="1701"/>
    </w:pPr>
  </w:style>
  <w:style w:type="paragraph" w:customStyle="1" w:styleId="CRCoverPage">
    <w:name w:val="CR Cover Page"/>
    <w:link w:val="CRCoverPageZchn"/>
    <w:rsid w:val="00C64819"/>
    <w:pPr>
      <w:spacing w:after="120" w:line="240" w:lineRule="auto"/>
    </w:pPr>
    <w:rPr>
      <w:rFonts w:ascii="Arial" w:eastAsia="DengXian" w:hAnsi="Arial" w:cs="Times New Roman"/>
      <w:sz w:val="20"/>
      <w:szCs w:val="20"/>
      <w:lang w:val="en-GB" w:eastAsia="en-US"/>
    </w:rPr>
  </w:style>
  <w:style w:type="character" w:customStyle="1" w:styleId="CRCoverPageZchn">
    <w:name w:val="CR Cover Page Zchn"/>
    <w:link w:val="CRCoverPage"/>
    <w:locked/>
    <w:rsid w:val="00C64819"/>
    <w:rPr>
      <w:rFonts w:ascii="Arial" w:eastAsia="DengXian" w:hAnsi="Arial" w:cs="Times New Roman"/>
      <w:sz w:val="20"/>
      <w:szCs w:val="20"/>
      <w:lang w:val="en-GB" w:eastAsia="en-US"/>
    </w:rPr>
  </w:style>
  <w:style w:type="paragraph" w:customStyle="1" w:styleId="3GPPAgreements">
    <w:name w:val="3GPP Agreements"/>
    <w:basedOn w:val="Normal"/>
    <w:link w:val="3GPPAgreementsChar"/>
    <w:qFormat/>
    <w:rsid w:val="00C64819"/>
    <w:pPr>
      <w:numPr>
        <w:numId w:val="5"/>
      </w:numPr>
      <w:spacing w:before="60" w:after="60"/>
    </w:pPr>
    <w:rPr>
      <w:rFonts w:ascii="Times New Roman" w:eastAsia="SimSun" w:hAnsi="Times New Roman"/>
      <w:sz w:val="22"/>
      <w:lang w:val="en-US"/>
    </w:rPr>
  </w:style>
  <w:style w:type="character" w:customStyle="1" w:styleId="3GPPAgreementsChar">
    <w:name w:val="3GPP Agreements Char"/>
    <w:link w:val="3GPPAgreements"/>
    <w:rsid w:val="00C64819"/>
    <w:rPr>
      <w:rFonts w:ascii="Times New Roman" w:eastAsia="SimSun" w:hAnsi="Times New Roman" w:cs="Times New Roman"/>
      <w:szCs w:val="20"/>
    </w:rPr>
  </w:style>
  <w:style w:type="paragraph" w:styleId="Header">
    <w:name w:val="header"/>
    <w:basedOn w:val="Normal"/>
    <w:link w:val="HeaderChar"/>
    <w:uiPriority w:val="99"/>
    <w:unhideWhenUsed/>
    <w:rsid w:val="00C64819"/>
    <w:pPr>
      <w:tabs>
        <w:tab w:val="center" w:pos="4680"/>
        <w:tab w:val="right" w:pos="9360"/>
      </w:tabs>
      <w:spacing w:after="0"/>
    </w:pPr>
  </w:style>
  <w:style w:type="character" w:customStyle="1" w:styleId="HeaderChar">
    <w:name w:val="Header Char"/>
    <w:basedOn w:val="DefaultParagraphFont"/>
    <w:link w:val="Header"/>
    <w:uiPriority w:val="99"/>
    <w:rsid w:val="00C64819"/>
    <w:rPr>
      <w:rFonts w:ascii="Arial" w:eastAsia="Times New Roman" w:hAnsi="Arial" w:cs="Times New Roman"/>
      <w:sz w:val="20"/>
      <w:szCs w:val="20"/>
      <w:lang w:val="en-GB"/>
    </w:rPr>
  </w:style>
  <w:style w:type="character" w:styleId="CommentReference">
    <w:name w:val="annotation reference"/>
    <w:uiPriority w:val="99"/>
    <w:qFormat/>
    <w:rsid w:val="00C64819"/>
    <w:rPr>
      <w:sz w:val="16"/>
      <w:szCs w:val="16"/>
    </w:rPr>
  </w:style>
  <w:style w:type="paragraph" w:styleId="CommentText">
    <w:name w:val="annotation text"/>
    <w:basedOn w:val="Normal"/>
    <w:link w:val="CommentTextChar"/>
    <w:uiPriority w:val="99"/>
    <w:qFormat/>
    <w:rsid w:val="00C64819"/>
    <w:pPr>
      <w:spacing w:after="180"/>
      <w:jc w:val="left"/>
    </w:pPr>
    <w:rPr>
      <w:rFonts w:ascii="Times New Roman" w:hAnsi="Times New Roman"/>
      <w:lang w:eastAsia="ja-JP"/>
    </w:rPr>
  </w:style>
  <w:style w:type="character" w:customStyle="1" w:styleId="CommentTextChar">
    <w:name w:val="Comment Text Char"/>
    <w:basedOn w:val="DefaultParagraphFont"/>
    <w:link w:val="CommentText"/>
    <w:uiPriority w:val="99"/>
    <w:qFormat/>
    <w:rsid w:val="00C64819"/>
    <w:rPr>
      <w:rFonts w:ascii="Times New Roman" w:eastAsia="Times New Roman" w:hAnsi="Times New Roman" w:cs="Times New Roman"/>
      <w:sz w:val="20"/>
      <w:szCs w:val="20"/>
      <w:lang w:val="en-GB" w:eastAsia="ja-JP"/>
    </w:rPr>
  </w:style>
  <w:style w:type="table" w:styleId="TableGrid">
    <w:name w:val="Table Grid"/>
    <w:basedOn w:val="TableNormal"/>
    <w:uiPriority w:val="39"/>
    <w:rsid w:val="00C64819"/>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6481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4819"/>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0078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650</Words>
  <Characters>3450</Characters>
  <Application>Microsoft Office Word</Application>
  <DocSecurity>0</DocSecurity>
  <Lines>28</Lines>
  <Paragraphs>8</Paragraphs>
  <ScaleCrop>false</ScaleCrop>
  <Company/>
  <LinksUpToDate>false</LinksUpToDate>
  <CharactersWithSpaces>4092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2019-02-14T22:40:00Z</dcterms:created>
  <dcterms:modified xsi:type="dcterms:W3CDTF">2019-02-14T22:44:00Z</dcterms:modified>
</cp:coreProperties>
</file>